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B468" w14:textId="3497655D" w:rsidR="00D32BC2" w:rsidRDefault="00DE381A" w:rsidP="009B1F0D">
      <w:pPr>
        <w:ind w:left="-284" w:right="-575"/>
      </w:pPr>
      <w:r>
        <w:t>Comunicado de prensa n.º 2</w:t>
      </w:r>
      <w:r w:rsidR="008C7E75">
        <w:t>4</w:t>
      </w:r>
      <w:r>
        <w:t xml:space="preserve">/2022      </w:t>
      </w:r>
    </w:p>
    <w:p w14:paraId="10888997" w14:textId="77777777" w:rsidR="008C7E75" w:rsidRPr="004E5222" w:rsidRDefault="008C7E75" w:rsidP="009B1F0D">
      <w:pPr>
        <w:ind w:left="-284" w:right="-575"/>
        <w:rPr>
          <w:rFonts w:cs="Times New Roman"/>
        </w:rPr>
      </w:pPr>
    </w:p>
    <w:p w14:paraId="115D85B3" w14:textId="77777777" w:rsidR="008C7E75" w:rsidRP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bCs/>
          <w:color w:val="auto"/>
          <w:sz w:val="28"/>
          <w:szCs w:val="28"/>
          <w:bdr w:val="none" w:sz="0" w:space="0" w:color="auto"/>
        </w:rPr>
      </w:pPr>
      <w:r w:rsidRPr="008C7E75">
        <w:rPr>
          <w:rFonts w:eastAsia="Times New Roman" w:cs="Times New Roman"/>
          <w:b/>
          <w:color w:val="auto"/>
          <w:sz w:val="28"/>
          <w:bdr w:val="none" w:sz="0" w:space="0" w:color="auto"/>
        </w:rPr>
        <w:t>Máquinas agrícolas: alta demanda en el mercado mundial</w:t>
      </w:r>
    </w:p>
    <w:p w14:paraId="4BDECC0A" w14:textId="77777777" w:rsidR="008C7E75" w:rsidRP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bCs/>
          <w:color w:val="auto"/>
          <w:bdr w:val="none" w:sz="0" w:space="0" w:color="auto"/>
        </w:rPr>
      </w:pPr>
    </w:p>
    <w:p w14:paraId="3D467553" w14:textId="77777777" w:rsidR="008C7E75" w:rsidRP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bCs/>
          <w:i/>
          <w:iCs/>
          <w:color w:val="auto"/>
          <w:bdr w:val="none" w:sz="0" w:space="0" w:color="auto"/>
        </w:rPr>
      </w:pPr>
      <w:r w:rsidRPr="008C7E75">
        <w:rPr>
          <w:rFonts w:eastAsia="Times New Roman" w:cs="Times New Roman"/>
          <w:b/>
          <w:i/>
          <w:color w:val="auto"/>
          <w:bdr w:val="none" w:sz="0" w:space="0" w:color="auto"/>
        </w:rPr>
        <w:t xml:space="preserve">Los niveles de ventas de vehículos mecánicos para la agricultura se han mantenido relativamente estables en los dos últimos años y medio, caracterizados por las graves crisis económicas derivadas de la pandemia de covid y de la guerra de Rusia contra Ucrania. En los nueve meses de enero a septiembre de 2022, el mercado ha mantenido unos volúmenes de venta superiores a los previos a la pandemia de 2020, aunque entre finales de este año y el primer semestre de 2023 el sector está destinado a sufrir los efectos de la inflación y la incerteza geopolítica. Perspectivas positivas para los próximos años, en respuesta a la demanda de alimentos que crece tanto en términos de cantidad como de calidad.        </w:t>
      </w:r>
    </w:p>
    <w:p w14:paraId="530FB4E3" w14:textId="77777777" w:rsidR="008C7E75" w:rsidRP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i/>
          <w:iCs/>
          <w:color w:val="auto"/>
          <w:bdr w:val="none" w:sz="0" w:space="0" w:color="auto"/>
        </w:rPr>
      </w:pPr>
    </w:p>
    <w:p w14:paraId="5639BF6C" w14:textId="77777777" w:rsid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color w:val="auto"/>
          <w:bdr w:val="none" w:sz="0" w:space="0" w:color="auto"/>
        </w:rPr>
      </w:pPr>
      <w:r w:rsidRPr="008C7E75">
        <w:rPr>
          <w:rFonts w:eastAsia="Times New Roman" w:cs="Times New Roman"/>
          <w:b/>
          <w:color w:val="auto"/>
          <w:bdr w:val="none" w:sz="0" w:space="0" w:color="auto"/>
        </w:rPr>
        <w:t>Las crisis económicas que han afectado la economía mundial en los dos últimos años no han logrado frenar el proceso de desarrollo de la mecanización agrícola</w:t>
      </w:r>
      <w:r w:rsidRPr="008C7E75">
        <w:rPr>
          <w:rFonts w:eastAsia="Times New Roman" w:cs="Times New Roman"/>
          <w:color w:val="auto"/>
          <w:bdr w:val="none" w:sz="0" w:space="0" w:color="auto"/>
        </w:rPr>
        <w:t xml:space="preserve">. </w:t>
      </w:r>
      <w:r w:rsidRPr="008C7E75">
        <w:rPr>
          <w:rFonts w:eastAsia="Times New Roman" w:cs="Times New Roman"/>
          <w:b/>
          <w:color w:val="auto"/>
          <w:bdr w:val="none" w:sz="0" w:space="0" w:color="auto"/>
        </w:rPr>
        <w:t>En el año 2020,</w:t>
      </w:r>
      <w:r w:rsidRPr="008C7E75">
        <w:rPr>
          <w:rFonts w:eastAsia="Times New Roman" w:cs="Times New Roman"/>
          <w:color w:val="auto"/>
          <w:bdr w:val="none" w:sz="0" w:space="0" w:color="auto"/>
        </w:rPr>
        <w:t xml:space="preserve"> marcado por la pandemia de covid y el consiguiente paro forzoso de la producción y la desaceleración de la actividad comercial, de los transportes y de la logística, </w:t>
      </w:r>
      <w:r w:rsidRPr="008C7E75">
        <w:rPr>
          <w:rFonts w:eastAsia="Times New Roman" w:cs="Times New Roman"/>
          <w:b/>
          <w:color w:val="auto"/>
          <w:bdr w:val="none" w:sz="0" w:space="0" w:color="auto"/>
        </w:rPr>
        <w:t>el mercado mundial de tractores mantuvo un buen comportamiento general</w:t>
      </w:r>
      <w:r w:rsidRPr="008C7E75">
        <w:rPr>
          <w:rFonts w:eastAsia="Times New Roman" w:cs="Times New Roman"/>
          <w:color w:val="auto"/>
          <w:bdr w:val="none" w:sz="0" w:space="0" w:color="auto"/>
        </w:rPr>
        <w:t xml:space="preserve"> y cerró el año </w:t>
      </w:r>
      <w:r w:rsidRPr="008C7E75">
        <w:rPr>
          <w:rFonts w:eastAsia="Times New Roman" w:cs="Times New Roman"/>
          <w:b/>
          <w:color w:val="auto"/>
          <w:bdr w:val="none" w:sz="0" w:space="0" w:color="auto"/>
        </w:rPr>
        <w:t>con un aumento del 7,7 %</w:t>
      </w:r>
      <w:r w:rsidRPr="008C7E75">
        <w:rPr>
          <w:rFonts w:eastAsia="Times New Roman" w:cs="Times New Roman"/>
          <w:color w:val="auto"/>
          <w:bdr w:val="none" w:sz="0" w:space="0" w:color="auto"/>
        </w:rPr>
        <w:t xml:space="preserve"> (2.200.000 nuevos tractores matriculados). </w:t>
      </w:r>
      <w:r w:rsidRPr="008C7E75">
        <w:rPr>
          <w:rFonts w:eastAsia="Times New Roman" w:cs="Times New Roman"/>
          <w:b/>
          <w:color w:val="auto"/>
          <w:bdr w:val="none" w:sz="0" w:space="0" w:color="auto"/>
        </w:rPr>
        <w:t>En 2021 se produjo una clara recuperación</w:t>
      </w:r>
      <w:r w:rsidRPr="008C7E75">
        <w:rPr>
          <w:rFonts w:eastAsia="Times New Roman" w:cs="Times New Roman"/>
          <w:color w:val="auto"/>
          <w:bdr w:val="none" w:sz="0" w:space="0" w:color="auto"/>
        </w:rPr>
        <w:t xml:space="preserve">, con aumentos importantes en Estados Unidos (+10 %), India (+13 %) y Europa (+16,6 %), una fase expansiva de la que quedó excluida China, que todavía se vio afectada por la emergencia covid y las correspondientes restricciones, además de una mala situación económica interna. En general, el mercado de máquinas agrícolas </w:t>
      </w:r>
      <w:r w:rsidRPr="008C7E75">
        <w:rPr>
          <w:rFonts w:eastAsia="Times New Roman" w:cs="Times New Roman"/>
          <w:b/>
          <w:color w:val="auto"/>
          <w:bdr w:val="none" w:sz="0" w:space="0" w:color="auto"/>
        </w:rPr>
        <w:t>creció alrededor de un 13 %</w:t>
      </w:r>
      <w:r w:rsidRPr="008C7E75">
        <w:rPr>
          <w:rFonts w:eastAsia="Times New Roman" w:cs="Times New Roman"/>
          <w:color w:val="auto"/>
          <w:bdr w:val="none" w:sz="0" w:space="0" w:color="auto"/>
        </w:rPr>
        <w:t xml:space="preserve"> en 2021. También </w:t>
      </w:r>
      <w:r w:rsidRPr="008C7E75">
        <w:rPr>
          <w:rFonts w:eastAsia="Times New Roman" w:cs="Times New Roman"/>
          <w:b/>
          <w:color w:val="auto"/>
          <w:bdr w:val="none" w:sz="0" w:space="0" w:color="auto"/>
        </w:rPr>
        <w:t>en 2022</w:t>
      </w:r>
      <w:r w:rsidRPr="008C7E75">
        <w:rPr>
          <w:rFonts w:eastAsia="Times New Roman" w:cs="Times New Roman"/>
          <w:color w:val="auto"/>
          <w:bdr w:val="none" w:sz="0" w:space="0" w:color="auto"/>
        </w:rPr>
        <w:t xml:space="preserve"> </w:t>
      </w:r>
      <w:r w:rsidRPr="008C7E75">
        <w:rPr>
          <w:rFonts w:eastAsia="Times New Roman" w:cs="Times New Roman"/>
          <w:b/>
          <w:color w:val="auto"/>
          <w:bdr w:val="none" w:sz="0" w:space="0" w:color="auto"/>
        </w:rPr>
        <w:t>las ventas de máquinas agrícolas se han mantenido a un buen nivel</w:t>
      </w:r>
      <w:r w:rsidRPr="008C7E75">
        <w:rPr>
          <w:rFonts w:eastAsia="Times New Roman" w:cs="Times New Roman"/>
          <w:color w:val="auto"/>
          <w:bdr w:val="none" w:sz="0" w:space="0" w:color="auto"/>
        </w:rPr>
        <w:t xml:space="preserve"> a pesar de la grave crisis política y económica provocada por la guerra de Rusia contra Ucrania, el impresionante crecimiento de la inflación, el coste de la energía disparado, la persistencia de dificultades para proveerse de materias primas ferrosas y plásticas, y los mayores costes de logística y transporte. En los nueve meses de </w:t>
      </w:r>
      <w:r w:rsidRPr="008C7E75">
        <w:rPr>
          <w:rFonts w:eastAsia="Times New Roman" w:cs="Times New Roman"/>
          <w:b/>
          <w:color w:val="auto"/>
          <w:bdr w:val="none" w:sz="0" w:space="0" w:color="auto"/>
        </w:rPr>
        <w:t>enero a septiembre de 2022</w:t>
      </w:r>
      <w:r w:rsidRPr="008C7E75">
        <w:rPr>
          <w:rFonts w:eastAsia="Times New Roman" w:cs="Times New Roman"/>
          <w:color w:val="auto"/>
          <w:bdr w:val="none" w:sz="0" w:space="0" w:color="auto"/>
        </w:rPr>
        <w:t xml:space="preserve"> –según datos difundidos por FederUnacoma esta tarde en Bolonia, durante la rueda de prensa de presentación de EIMA International– en India se han vendido </w:t>
      </w:r>
      <w:r w:rsidRPr="008C7E75">
        <w:rPr>
          <w:rFonts w:eastAsia="Times New Roman" w:cs="Times New Roman"/>
          <w:b/>
          <w:color w:val="auto"/>
          <w:bdr w:val="none" w:sz="0" w:space="0" w:color="auto"/>
        </w:rPr>
        <w:t>665.000 tractores, lo que corresponde a una contracción de apenas el 2,3 %</w:t>
      </w:r>
      <w:r w:rsidRPr="008C7E75">
        <w:rPr>
          <w:rFonts w:eastAsia="Times New Roman" w:cs="Times New Roman"/>
          <w:color w:val="auto"/>
          <w:bdr w:val="none" w:sz="0" w:space="0" w:color="auto"/>
        </w:rPr>
        <w:t xml:space="preserve"> en comparación con el mismo período de 2021. En el mismo período, el </w:t>
      </w:r>
      <w:r w:rsidRPr="008C7E75">
        <w:rPr>
          <w:rFonts w:eastAsia="Times New Roman" w:cs="Times New Roman"/>
          <w:b/>
          <w:color w:val="auto"/>
          <w:bdr w:val="none" w:sz="0" w:space="0" w:color="auto"/>
        </w:rPr>
        <w:t>mercado estadounidense ha registrado unas ventas de 210.000 unidades</w:t>
      </w:r>
      <w:r w:rsidRPr="008C7E75">
        <w:rPr>
          <w:rFonts w:eastAsia="Times New Roman" w:cs="Times New Roman"/>
          <w:color w:val="auto"/>
          <w:bdr w:val="none" w:sz="0" w:space="0" w:color="auto"/>
        </w:rPr>
        <w:t xml:space="preserve">, con una disminución del 14,3 % respecto a 2021, pero con un volumen de ventas superior al previo a la covid. También </w:t>
      </w:r>
      <w:r w:rsidRPr="008C7E75">
        <w:rPr>
          <w:rFonts w:eastAsia="Times New Roman" w:cs="Times New Roman"/>
          <w:b/>
          <w:color w:val="auto"/>
          <w:bdr w:val="none" w:sz="0" w:space="0" w:color="auto"/>
        </w:rPr>
        <w:t>el mercado europeo</w:t>
      </w:r>
      <w:r w:rsidRPr="008C7E75">
        <w:rPr>
          <w:rFonts w:eastAsia="Times New Roman" w:cs="Times New Roman"/>
          <w:color w:val="auto"/>
          <w:bdr w:val="none" w:sz="0" w:space="0" w:color="auto"/>
        </w:rPr>
        <w:t xml:space="preserve"> parece mantener un buen comportamiento, aunque debe hacer frente al deterioro de la situación económica general (</w:t>
      </w:r>
      <w:r w:rsidRPr="008C7E75">
        <w:rPr>
          <w:rFonts w:eastAsia="Times New Roman" w:cs="Times New Roman"/>
          <w:b/>
          <w:color w:val="auto"/>
          <w:bdr w:val="none" w:sz="0" w:space="0" w:color="auto"/>
        </w:rPr>
        <w:t>-7,6 % en los primeros nueve meses de 2022)</w:t>
      </w:r>
      <w:r w:rsidRPr="008C7E75">
        <w:rPr>
          <w:rFonts w:eastAsia="Times New Roman" w:cs="Times New Roman"/>
          <w:color w:val="auto"/>
          <w:bdr w:val="none" w:sz="0" w:space="0" w:color="auto"/>
        </w:rPr>
        <w:t xml:space="preserve">. Países que son la locomotora de Europa, como Alemania y Francia, han logrado resistir algo mejor en estos nueve meses: </w:t>
      </w:r>
      <w:r w:rsidRPr="008C7E75">
        <w:rPr>
          <w:rFonts w:eastAsia="Times New Roman" w:cs="Times New Roman"/>
          <w:b/>
          <w:color w:val="auto"/>
          <w:bdr w:val="none" w:sz="0" w:space="0" w:color="auto"/>
        </w:rPr>
        <w:t>Alemania muestra una contracción del 7,4 % de las ventas de tractores,</w:t>
      </w:r>
      <w:r w:rsidRPr="008C7E75">
        <w:rPr>
          <w:rFonts w:eastAsia="Times New Roman" w:cs="Times New Roman"/>
          <w:color w:val="auto"/>
          <w:bdr w:val="none" w:sz="0" w:space="0" w:color="auto"/>
        </w:rPr>
        <w:t xml:space="preserve"> aunque la cantidad total (23.400 unidades) es superior a la de 2019, año previo a la covid. </w:t>
      </w:r>
      <w:r w:rsidRPr="008C7E75">
        <w:rPr>
          <w:rFonts w:eastAsia="Times New Roman" w:cs="Times New Roman"/>
          <w:b/>
          <w:color w:val="auto"/>
          <w:bdr w:val="none" w:sz="0" w:space="0" w:color="auto"/>
        </w:rPr>
        <w:t>Francia muestra un descenso del 4,5 %</w:t>
      </w:r>
      <w:r w:rsidRPr="008C7E75">
        <w:rPr>
          <w:rFonts w:eastAsia="Times New Roman" w:cs="Times New Roman"/>
          <w:color w:val="auto"/>
          <w:bdr w:val="none" w:sz="0" w:space="0" w:color="auto"/>
        </w:rPr>
        <w:t xml:space="preserve"> (23.500 unidades, cantidad también superior a la de 2019), mientras que cabe señalar </w:t>
      </w:r>
      <w:r w:rsidRPr="008C7E75">
        <w:rPr>
          <w:rFonts w:eastAsia="Times New Roman" w:cs="Times New Roman"/>
          <w:b/>
          <w:color w:val="auto"/>
          <w:bdr w:val="none" w:sz="0" w:space="0" w:color="auto"/>
        </w:rPr>
        <w:t>un notable aumento en mercados</w:t>
      </w:r>
      <w:r w:rsidRPr="008C7E75">
        <w:rPr>
          <w:rFonts w:eastAsia="Times New Roman" w:cs="Times New Roman"/>
          <w:color w:val="auto"/>
          <w:bdr w:val="none" w:sz="0" w:space="0" w:color="auto"/>
        </w:rPr>
        <w:t xml:space="preserve"> más pequeños, como los de la República Checa, Hungría, Serbia y Croacia. </w:t>
      </w:r>
      <w:r w:rsidRPr="008C7E75">
        <w:rPr>
          <w:rFonts w:eastAsia="Times New Roman" w:cs="Times New Roman"/>
          <w:b/>
          <w:color w:val="auto"/>
          <w:bdr w:val="none" w:sz="0" w:space="0" w:color="auto"/>
        </w:rPr>
        <w:t>Capítulo aparte merece la China</w:t>
      </w:r>
      <w:r w:rsidRPr="008C7E75">
        <w:rPr>
          <w:rFonts w:eastAsia="Times New Roman" w:cs="Times New Roman"/>
          <w:color w:val="auto"/>
          <w:bdr w:val="none" w:sz="0" w:space="0" w:color="auto"/>
        </w:rPr>
        <w:t xml:space="preserve">, donde el mercado continúa </w:t>
      </w:r>
      <w:r w:rsidRPr="008C7E75">
        <w:rPr>
          <w:rFonts w:eastAsia="Times New Roman" w:cs="Times New Roman"/>
          <w:b/>
          <w:color w:val="auto"/>
          <w:bdr w:val="none" w:sz="0" w:space="0" w:color="auto"/>
        </w:rPr>
        <w:t>su fase negativa también en 2022</w:t>
      </w:r>
      <w:r w:rsidRPr="008C7E75">
        <w:rPr>
          <w:rFonts w:eastAsia="Times New Roman" w:cs="Times New Roman"/>
          <w:color w:val="auto"/>
          <w:bdr w:val="none" w:sz="0" w:space="0" w:color="auto"/>
        </w:rPr>
        <w:t>, determinada por las desfavorables condiciones económicas generales (-1 % de ventas de tractores en el primer trimestre de 2022 después de un -20% en 2021). “</w:t>
      </w:r>
      <w:r w:rsidRPr="008C7E75">
        <w:rPr>
          <w:rFonts w:eastAsia="Times New Roman" w:cs="Times New Roman"/>
          <w:b/>
          <w:color w:val="auto"/>
          <w:bdr w:val="none" w:sz="0" w:space="0" w:color="auto"/>
        </w:rPr>
        <w:t>La tendencia general del mercado confirma que la demanda de mecanización agrícola es, ahora, una constante en el panorama económico mundial</w:t>
      </w:r>
      <w:r w:rsidRPr="008C7E75">
        <w:rPr>
          <w:rFonts w:eastAsia="Times New Roman" w:cs="Times New Roman"/>
          <w:color w:val="auto"/>
          <w:bdr w:val="none" w:sz="0" w:space="0" w:color="auto"/>
        </w:rPr>
        <w:t xml:space="preserve">  –ha observado </w:t>
      </w:r>
      <w:r w:rsidRPr="008C7E75">
        <w:rPr>
          <w:rFonts w:eastAsia="Times New Roman" w:cs="Times New Roman"/>
          <w:b/>
          <w:color w:val="auto"/>
          <w:bdr w:val="none" w:sz="0" w:space="0" w:color="auto"/>
        </w:rPr>
        <w:t>el presidente de FederUnacoma, Alessandro</w:t>
      </w:r>
      <w:r w:rsidRPr="008C7E75">
        <w:rPr>
          <w:rFonts w:eastAsia="Times New Roman" w:cs="Times New Roman"/>
          <w:color w:val="auto"/>
          <w:bdr w:val="none" w:sz="0" w:space="0" w:color="auto"/>
        </w:rPr>
        <w:t xml:space="preserve"> </w:t>
      </w:r>
      <w:r w:rsidRPr="008C7E75">
        <w:rPr>
          <w:rFonts w:eastAsia="Times New Roman" w:cs="Times New Roman"/>
          <w:b/>
          <w:color w:val="auto"/>
          <w:bdr w:val="none" w:sz="0" w:space="0" w:color="auto"/>
        </w:rPr>
        <w:t>Malavolti</w:t>
      </w:r>
      <w:r w:rsidRPr="008C7E75">
        <w:rPr>
          <w:rFonts w:eastAsia="Times New Roman" w:cs="Times New Roman"/>
          <w:color w:val="auto"/>
          <w:bdr w:val="none" w:sz="0" w:space="0" w:color="auto"/>
        </w:rPr>
        <w:t xml:space="preserve"> – aunque en el balance de este año, y en los primeros meses del próximo, por fuerza pesará la situación económica general, la inflación y las políticas restrictivas aplicadas por los gobiernos, así como la posible disminución de la rentabilidad de la agricultura </w:t>
      </w:r>
    </w:p>
    <w:p w14:paraId="19D32C02" w14:textId="77777777" w:rsid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color w:val="auto"/>
          <w:bdr w:val="none" w:sz="0" w:space="0" w:color="auto"/>
        </w:rPr>
      </w:pPr>
    </w:p>
    <w:p w14:paraId="1C9B4A19" w14:textId="007168EE" w:rsidR="008C7E75" w:rsidRPr="008C7E75" w:rsidRDefault="008C7E75" w:rsidP="008C7E75">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Times New Roman" w:cs="Times New Roman"/>
          <w:b/>
          <w:bCs/>
          <w:i/>
          <w:iCs/>
          <w:color w:val="auto"/>
          <w:bdr w:val="none" w:sz="0" w:space="0" w:color="auto"/>
        </w:rPr>
      </w:pPr>
      <w:r w:rsidRPr="008C7E75">
        <w:rPr>
          <w:rFonts w:eastAsia="Times New Roman" w:cs="Times New Roman"/>
          <w:color w:val="auto"/>
          <w:bdr w:val="none" w:sz="0" w:space="0" w:color="auto"/>
        </w:rPr>
        <w:lastRenderedPageBreak/>
        <w:t xml:space="preserve">debido al aumento de los costes de producción”. “La expectativa de los operadores del sector agromecánico –ha añadido Malavolti– es que el mercado pueda reanudar su marcha rápidamente, en cuanto mejore la situación económica. Al fin y al cabo, </w:t>
      </w:r>
      <w:r w:rsidRPr="008C7E75">
        <w:rPr>
          <w:rFonts w:eastAsia="Times New Roman" w:cs="Times New Roman"/>
          <w:b/>
          <w:color w:val="auto"/>
          <w:bdr w:val="none" w:sz="0" w:space="0" w:color="auto"/>
        </w:rPr>
        <w:t>el sector agrícola está destinado a crecer a nivel mundial en los próximos años</w:t>
      </w:r>
      <w:r w:rsidRPr="008C7E75">
        <w:rPr>
          <w:rFonts w:eastAsia="Times New Roman" w:cs="Times New Roman"/>
          <w:color w:val="auto"/>
          <w:bdr w:val="none" w:sz="0" w:space="0" w:color="auto"/>
        </w:rPr>
        <w:t xml:space="preserve"> para satisfacer las necesidades de una población que pasará de 7.800 millones de personas de 2021 a 8.600 millones en 2031 (casi mil millones más en apenas diez años). En la próxima </w:t>
      </w:r>
      <w:r w:rsidRPr="008C7E75">
        <w:rPr>
          <w:rFonts w:eastAsia="Times New Roman" w:cs="Times New Roman"/>
          <w:b/>
          <w:color w:val="auto"/>
          <w:bdr w:val="none" w:sz="0" w:space="0" w:color="auto"/>
        </w:rPr>
        <w:t>década, se estima que la producción agrícola mundial crecerá un 17 %</w:t>
      </w:r>
      <w:r w:rsidRPr="008C7E75">
        <w:rPr>
          <w:rFonts w:eastAsia="Times New Roman" w:cs="Times New Roman"/>
          <w:color w:val="auto"/>
          <w:bdr w:val="none" w:sz="0" w:space="0" w:color="auto"/>
        </w:rPr>
        <w:t xml:space="preserve">, impulsada principalmente por China, así como por la India y otras regiones de Asia y del Pacífico, mientras que el África subsahariana también aumentará su capacidad de producción. El aumento de los rendimientos permite suponer </w:t>
      </w:r>
      <w:r w:rsidRPr="008C7E75">
        <w:rPr>
          <w:rFonts w:eastAsia="Times New Roman" w:cs="Times New Roman"/>
          <w:b/>
          <w:color w:val="auto"/>
          <w:bdr w:val="none" w:sz="0" w:space="0" w:color="auto"/>
        </w:rPr>
        <w:t>que la producción de cereales crecerá, aunque el sector que más lo hará será el cárnico</w:t>
      </w:r>
      <w:r w:rsidRPr="008C7E75">
        <w:rPr>
          <w:rFonts w:eastAsia="Times New Roman" w:cs="Times New Roman"/>
          <w:color w:val="auto"/>
          <w:bdr w:val="none" w:sz="0" w:space="0" w:color="auto"/>
        </w:rPr>
        <w:t xml:space="preserve">: concretamente, en los próximos diez años la producción avícola aumentará un 16 % y la de cerdo, un 17 %. En conjunto, se estima que en 2031 </w:t>
      </w:r>
      <w:r w:rsidRPr="008C7E75">
        <w:rPr>
          <w:rFonts w:eastAsia="Times New Roman" w:cs="Times New Roman"/>
          <w:b/>
          <w:color w:val="auto"/>
          <w:bdr w:val="none" w:sz="0" w:space="0" w:color="auto"/>
        </w:rPr>
        <w:t>la producción mundial de carne llegue a 377 millones de toneladas (+15 %)</w:t>
      </w:r>
      <w:r w:rsidRPr="008C7E75">
        <w:rPr>
          <w:rFonts w:eastAsia="Times New Roman" w:cs="Times New Roman"/>
          <w:color w:val="auto"/>
          <w:bdr w:val="none" w:sz="0" w:space="0" w:color="auto"/>
        </w:rPr>
        <w:t xml:space="preserve">, para satisfacer una demanda proveniente principalmente de países en desarrollo así como de países emergentes. </w:t>
      </w:r>
      <w:r w:rsidRPr="008C7E75">
        <w:rPr>
          <w:rFonts w:eastAsia="Times New Roman" w:cs="Times New Roman"/>
          <w:b/>
          <w:color w:val="auto"/>
          <w:bdr w:val="none" w:sz="0" w:space="0" w:color="auto"/>
        </w:rPr>
        <w:t>La agricultura y la zootecnia tendrán una distribución geográfica más amplia</w:t>
      </w:r>
      <w:r w:rsidRPr="008C7E75">
        <w:rPr>
          <w:rFonts w:eastAsia="Times New Roman" w:cs="Times New Roman"/>
          <w:color w:val="auto"/>
          <w:bdr w:val="none" w:sz="0" w:space="0" w:color="auto"/>
        </w:rPr>
        <w:t xml:space="preserve"> –este es el panorama descrito en los informes de la OCDE y de la FAO– ya que muchos países tenderán al autoabastecimiento y, por lo tanto, </w:t>
      </w:r>
      <w:r w:rsidRPr="008C7E75">
        <w:rPr>
          <w:rFonts w:eastAsia="Times New Roman" w:cs="Times New Roman"/>
          <w:b/>
          <w:color w:val="auto"/>
          <w:bdr w:val="none" w:sz="0" w:space="0" w:color="auto"/>
        </w:rPr>
        <w:t>reducirán parcialmente su dependencia de los actuales cinco principales productores del planeta</w:t>
      </w:r>
      <w:r w:rsidRPr="008C7E75">
        <w:rPr>
          <w:rFonts w:eastAsia="Times New Roman" w:cs="Times New Roman"/>
          <w:color w:val="auto"/>
          <w:bdr w:val="none" w:sz="0" w:space="0" w:color="auto"/>
        </w:rPr>
        <w:t xml:space="preserve">, a saber, China, Estados Unidos, Unión Europea, Brasil y Federación Rusa. Si en </w:t>
      </w:r>
      <w:r w:rsidRPr="008C7E75">
        <w:rPr>
          <w:rFonts w:eastAsia="Times New Roman" w:cs="Times New Roman"/>
          <w:b/>
          <w:color w:val="auto"/>
          <w:bdr w:val="none" w:sz="0" w:space="0" w:color="auto"/>
        </w:rPr>
        <w:t>los países emergentes y en desarrollo las tecnologías están dirigidas, sobre todo, a aumentar la producción</w:t>
      </w:r>
      <w:r w:rsidRPr="008C7E75">
        <w:rPr>
          <w:rFonts w:eastAsia="Times New Roman" w:cs="Times New Roman"/>
          <w:color w:val="auto"/>
          <w:bdr w:val="none" w:sz="0" w:space="0" w:color="auto"/>
        </w:rPr>
        <w:t xml:space="preserve"> – se ha observado finalmente durante la rueda de presa-, </w:t>
      </w:r>
      <w:r w:rsidRPr="008C7E75">
        <w:rPr>
          <w:rFonts w:eastAsia="Times New Roman" w:cs="Times New Roman"/>
          <w:b/>
          <w:color w:val="auto"/>
          <w:bdr w:val="none" w:sz="0" w:space="0" w:color="auto"/>
        </w:rPr>
        <w:t>en los países más avanzados,</w:t>
      </w:r>
      <w:r w:rsidRPr="008C7E75">
        <w:rPr>
          <w:rFonts w:eastAsia="Times New Roman" w:cs="Times New Roman"/>
          <w:color w:val="auto"/>
          <w:bdr w:val="none" w:sz="0" w:space="0" w:color="auto"/>
        </w:rPr>
        <w:t xml:space="preserve"> y especialmente en </w:t>
      </w:r>
      <w:r w:rsidRPr="008C7E75">
        <w:rPr>
          <w:rFonts w:eastAsia="Times New Roman" w:cs="Times New Roman"/>
          <w:b/>
          <w:color w:val="auto"/>
          <w:bdr w:val="none" w:sz="0" w:space="0" w:color="auto"/>
        </w:rPr>
        <w:t>Europa, las innovaciones</w:t>
      </w:r>
      <w:r w:rsidRPr="008C7E75">
        <w:rPr>
          <w:rFonts w:eastAsia="Times New Roman" w:cs="Times New Roman"/>
          <w:color w:val="auto"/>
          <w:bdr w:val="none" w:sz="0" w:space="0" w:color="auto"/>
        </w:rPr>
        <w:t xml:space="preserve"> tecnológicas </w:t>
      </w:r>
      <w:r w:rsidRPr="008C7E75">
        <w:rPr>
          <w:rFonts w:eastAsia="Times New Roman" w:cs="Times New Roman"/>
          <w:b/>
          <w:color w:val="auto"/>
          <w:bdr w:val="none" w:sz="0" w:space="0" w:color="auto"/>
        </w:rPr>
        <w:t>están dirigidas, en su mayoría, a la sostenibilidad ambiental y a la preservación de los recursos naturales</w:t>
      </w:r>
      <w:r w:rsidRPr="008C7E75">
        <w:rPr>
          <w:rFonts w:eastAsia="Times New Roman" w:cs="Times New Roman"/>
          <w:color w:val="auto"/>
          <w:bdr w:val="none" w:sz="0" w:space="0" w:color="auto"/>
        </w:rPr>
        <w:t xml:space="preserve">, según el modelo plasmado en el Pacto Verde e implementado con las medidas de la nueva Política Agrícola Común. Ante ese panorama, se espera que el mercado de la mecanización agrícola crezca significativamente en los próximos años. </w:t>
      </w:r>
      <w:r w:rsidRPr="008C7E75">
        <w:rPr>
          <w:rFonts w:eastAsia="Times New Roman" w:cs="Times New Roman"/>
          <w:b/>
          <w:color w:val="auto"/>
          <w:bdr w:val="none" w:sz="0" w:space="0" w:color="auto"/>
        </w:rPr>
        <w:t>Los datos de Export Planning sobre el comercio mundial de máquinas agrícolas indican que dicho mercado debería crecer un 5,7 % entre 2023 y 2026</w:t>
      </w:r>
      <w:r w:rsidRPr="008C7E75">
        <w:rPr>
          <w:rFonts w:eastAsia="Times New Roman" w:cs="Times New Roman"/>
          <w:color w:val="auto"/>
          <w:bdr w:val="none" w:sz="0" w:space="0" w:color="auto"/>
        </w:rPr>
        <w:t>.</w:t>
      </w:r>
    </w:p>
    <w:p w14:paraId="4B4D34D8" w14:textId="77777777" w:rsidR="004C1D86" w:rsidRPr="008C7E75" w:rsidRDefault="004C1D86" w:rsidP="009B1F0D">
      <w:pPr>
        <w:spacing w:before="120" w:after="120"/>
        <w:ind w:left="-284" w:right="-575"/>
        <w:jc w:val="both"/>
        <w:rPr>
          <w:rFonts w:cs="Times New Roman"/>
          <w:b/>
          <w:bCs/>
          <w:color w:val="333333"/>
          <w:sz w:val="22"/>
          <w:szCs w:val="22"/>
          <w:shd w:val="clear" w:color="auto" w:fill="FFFFFF"/>
        </w:rPr>
      </w:pPr>
    </w:p>
    <w:p w14:paraId="13F5521F" w14:textId="332EFAE5" w:rsidR="00840A91" w:rsidRPr="008A586F" w:rsidRDefault="009B1F0D" w:rsidP="008A586F">
      <w:pPr>
        <w:spacing w:before="120" w:after="120"/>
        <w:ind w:left="-284" w:right="-575"/>
        <w:jc w:val="both"/>
        <w:rPr>
          <w:rFonts w:cs="Times New Roman"/>
          <w:sz w:val="22"/>
          <w:szCs w:val="22"/>
        </w:rPr>
      </w:pPr>
      <w:r>
        <w:rPr>
          <w:b/>
          <w:color w:val="333333"/>
          <w:sz w:val="22"/>
        </w:rPr>
        <w:t>Bolonia, 8 de noviembre de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7921" w14:textId="77777777" w:rsidR="004B5F4F" w:rsidRDefault="004B5F4F">
      <w:r>
        <w:separator/>
      </w:r>
    </w:p>
  </w:endnote>
  <w:endnote w:type="continuationSeparator" w:id="0">
    <w:p w14:paraId="34D78445" w14:textId="77777777" w:rsidR="004B5F4F" w:rsidRDefault="004B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C365" w14:textId="77777777" w:rsidR="004B5F4F" w:rsidRDefault="004B5F4F">
      <w:r>
        <w:separator/>
      </w:r>
    </w:p>
  </w:footnote>
  <w:footnote w:type="continuationSeparator" w:id="0">
    <w:p w14:paraId="793C46E1" w14:textId="77777777" w:rsidR="004B5F4F" w:rsidRDefault="004B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9836CD">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rPr>
                                  <w:fldChar w:fldCharType="begin"/>
                                </w:r>
                                <w:r>
                                  <w:instrText>PAGE    \* MERGEFORMAT</w:instrText>
                                </w:r>
                                <w:r>
                                  <w:rPr>
                                    <w:color w:val="auto"/>
                                    <w:sz w:val="22"/>
                                  </w:rPr>
                                  <w:fldChar w:fldCharType="separate"/>
                                </w:r>
                                <w:r w:rsidR="007E1FF9" w:rsidRPr="007E1FF9">
                                  <w:rPr>
                                    <w:rStyle w:val="Numeropagina"/>
                                    <w:b/>
                                    <w:noProof/>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7E1FF9" w:rsidRPr="007E1FF9">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sidR="009836CD">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9836CD">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9836CD">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E1FF9">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E1FF9">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B5F4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1A4E"/>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1FF9"/>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E75"/>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836CD"/>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s-E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s-E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s-E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s-E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6FFEB0-FA84-4517-A733-A1E06D4F7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5461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2022-11-09T16:14:00Z</dcterms:created>
  <dcterms:modified xsi:type="dcterms:W3CDTF">2022-11-09T16:14:00Z</dcterms:modified>
</cp:coreProperties>
</file>